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60" w:after="120" w:line="276"/>
        <w:jc w:val="center"/>
      </w:pPr>
      <w:r>
        <w:rPr>
          <w:color w:val="9E9E9E"/>
          <w:sz w:val="17"/>
          <w:szCs w:val="17"/>
        </w:rPr>
        <w:t xml:space="preserve">Lar Maria de Nazaré — Realengo, RJ · Registro BN 62026 · Gratuito</w:t>
      </w:r>
    </w:p>
    <w:p>
      <w:pPr>
        <w:spacing w:before="60" w:after="120" w:line="276"/>
        <w:jc w:val="center"/>
      </w:pPr>
      <w:r>
        <w:rPr>
          <w:b/>
          <w:bCs/>
          <w:color w:val="1A1A1A"/>
          <w:sz w:val="39"/>
          <w:szCs w:val="39"/>
        </w:rPr>
        <w:t xml:space="preserve">REPLICADOR NOOSFÉRICO CASEIRO</w:t>
      </w:r>
    </w:p>
    <w:p>
      <w:pPr>
        <w:spacing w:before="60" w:after="120" w:line="276"/>
        <w:jc w:val="center"/>
      </w:pPr>
      <w:r>
        <w:rPr>
          <w:i/>
          <w:iCs/>
          <w:color w:val="555555"/>
          <w:sz w:val="21"/>
          <w:szCs w:val="21"/>
        </w:rPr>
        <w:t xml:space="preserve">A Água como Alimento do Futuro — Estruturação por Frequência (Elixir de Sirius)</w:t>
      </w:r>
    </w:p>
    <w:p>
      <w:pPr>
        <w:spacing w:before="60" w:after="120" w:line="276"/>
        <w:jc w:val="center"/>
      </w:pPr>
      <w:r>
        <w:rPr>
          <w:color w:val="9E9E9E"/>
          <w:sz w:val="18"/>
          <w:szCs w:val="18"/>
        </w:rPr>
        <w:t xml:space="preserve">12 de agosto de 2026</w:t>
      </w:r>
    </w:p>
    <w:p>
      <w:pPr>
        <w:pBdr>
          <w:bottom w:val="single" w:color="CCCCCC" w:sz="6"/>
        </w:pBdr>
        <w:spacing w:before="200" w:after="200"/>
      </w:pPr>
    </w:p>
    <w:p>
      <w:pPr>
        <w:spacing w:before="60" w:after="120" w:line="276"/>
        <w:jc w:val="center"/>
      </w:pPr>
      <w:r>
        <w:rPr>
          <w:i/>
          <w:iCs/>
          <w:color w:val="757575"/>
          <w:sz w:val="20"/>
          <w:szCs w:val="20"/>
        </w:rPr>
        <w:t xml:space="preserve">"A matéria é apenas som desacelerado"</w:t>
      </w:r>
    </w:p>
    <w:p>
      <w:pPr>
        <w:pStyle w:val="Heading3"/>
        <w:spacing w:before="240" w:after="120"/>
      </w:pPr>
      <w:r>
        <w:t xml:space="preserve">1. INTRODUÇÃO</w:t>
      </w:r>
    </w:p>
    <w:p>
      <w:pPr>
        <w:spacing w:before="60" w:after="120" w:line="276"/>
        <w:jc w:val="both"/>
      </w:pPr>
      <w:r>
        <w:t xml:space="preserve">Este guia prático tem como objetivo ensinar a montagem de um dispositivo de baixo custo capaz de estruturar a água (EZ Water — </w:t>
      </w:r>
      <w:r>
        <w:rPr>
          <w:i/>
          <w:iCs/>
        </w:rPr>
        <w:t xml:space="preserve">Exclusion Zone Water</w:t>
      </w:r>
      <w:r>
        <w:t xml:space="preserve">) através da aplicação de frequências sonoras específicas. O </w:t>
      </w:r>
      <w:r>
        <w:rPr>
          <w:b/>
          <w:bCs/>
        </w:rPr>
        <w:t xml:space="preserve">Replicador Noosférico</w:t>
      </w:r>
      <w:r>
        <w:t xml:space="preserve"> transforma a água comum em "água viva", reorganizando suas moléculas para aumentar seu potencial antioxidante e sua biodisponibilidade celular. Este é um método fundamentado na </w:t>
      </w:r>
      <w:r>
        <w:rPr>
          <w:b/>
          <w:bCs/>
        </w:rPr>
        <w:t xml:space="preserve">Alta Integridade</w:t>
      </w:r>
      <w:r>
        <w:t xml:space="preserve">, unindo sabedoria vibracional e comprovação técnica por meio de medidores acessíveis, permitindo que qualquer pessoa produza o </w:t>
      </w:r>
      <w:r>
        <w:rPr>
          <w:b/>
          <w:bCs/>
        </w:rPr>
        <w:t xml:space="preserve">Elixir de Sirius</w:t>
      </w:r>
      <w:r>
        <w:t xml:space="preserve"> em ambiente doméstico.</w:t>
      </w:r>
    </w:p>
    <w:p>
      <w:pPr>
        <w:pStyle w:val="Heading3"/>
        <w:spacing w:before="240" w:after="120"/>
      </w:pPr>
      <w:r>
        <w:t xml:space="preserve">2. MATERIAIS NECESSÁRIOS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Base de madeira:</w:t>
      </w:r>
      <w:r>
        <w:t xml:space="preserve"> 1 unidade (aprox. 30x30 cm) para suporte do sistema.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Fio de cobre esmaltado:</w:t>
      </w:r>
      <w:r>
        <w:t xml:space="preserve"> 5 metros (espessura de $$1 mm$$ / </w:t>
      </w:r>
      <w:r>
        <w:rPr>
          <w:b/>
          <w:bCs/>
        </w:rPr>
        <w:t xml:space="preserve">18 AWG</w:t>
      </w:r>
      <w:r>
        <w:t xml:space="preserve">).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Módulo amplificador de áudio:</w:t>
      </w:r>
      <w:r>
        <w:t xml:space="preserve"> 1 unidade (modelo TDA7297, PAM8403 ou similar).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Fonte de alimentação $$12V$$:</w:t>
      </w:r>
      <w:r>
        <w:t xml:space="preserve"> 1 unidade (pode ser utilizada uma fonte de carregador de celular antigo ou roteador).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Cabo de áudio P2 ($$3,5 mm$$):</w:t>
      </w:r>
      <w:r>
        <w:t xml:space="preserve"> 1 unidade para conexão com o smartphone.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Recipiente de vidro:</w:t>
      </w:r>
      <w:r>
        <w:t xml:space="preserve"> 1 tigela ou copo de vidro (nunca utilizar metal).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Smartphone:</w:t>
      </w:r>
      <w:r>
        <w:t xml:space="preserve"> Com aplicativo gerador de frequências instalado (disponível em lojas de apps).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Opcional para comprovação:</w:t>
      </w:r>
      <w:r>
        <w:t xml:space="preserve"> Medidor de ORP (Potencial de Oxirredução) e medidor de pH.</w:t>
      </w:r>
    </w:p>
    <w:p>
      <w:pPr>
        <w:pStyle w:val="Heading3"/>
        <w:spacing w:before="240" w:after="120"/>
      </w:pPr>
      <w:r>
        <w:t xml:space="preserve">3. PASSO A PASSO DE MONTAGEM</w:t>
      </w:r>
    </w:p>
    <w:p>
      <w:pPr>
        <w:spacing w:before="60" w:after="120" w:line="276"/>
        <w:jc w:val="both"/>
      </w:pPr>
      <w:r>
        <w:t xml:space="preserve">Siga as etapas abaixo com atenção para garantir a correta indução do campo vibracional na água: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PASSO 1 — Enrole a bobina:</w:t>
      </w:r>
      <w:r>
        <w:t xml:space="preserve"> Utilize o fio de cobre para criar uma espiral plana (estilo "panqueca"). Enrole de </w:t>
      </w:r>
      <w:r>
        <w:rPr>
          <w:b/>
          <w:bCs/>
        </w:rPr>
        <w:t xml:space="preserve">20 a 25 voltas</w:t>
      </w:r>
      <w:r>
        <w:t xml:space="preserve"> de forma concêntrica sobre a base de madeira ou um suporte circular. Fixe as pontas com fita ou cola quente, deixando cerca de $$10 cm$$ de fio livre em cada extremidade para a conexão.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PASSO 2 — Conecte o sistema:</w:t>
      </w:r>
      <w:r>
        <w:t xml:space="preserve"> Descasque as pontas do fio de cobre (removendo o esmalte isolante). Conecte-as na saída de áudio do </w:t>
      </w:r>
      <w:r>
        <w:rPr>
          <w:b/>
          <w:bCs/>
        </w:rPr>
        <w:t xml:space="preserve">Módulo Amplificador</w:t>
      </w:r>
      <w:r>
        <w:t xml:space="preserve">. Conecte o </w:t>
      </w:r>
      <w:r>
        <w:rPr>
          <w:b/>
          <w:bCs/>
        </w:rPr>
        <w:t xml:space="preserve">Cabo P2</w:t>
      </w:r>
      <w:r>
        <w:t xml:space="preserve"> na entrada do amplificador e a outra extremidade no </w:t>
      </w:r>
      <w:r>
        <w:rPr>
          <w:b/>
          <w:bCs/>
        </w:rPr>
        <w:t xml:space="preserve">Smartphone</w:t>
      </w:r>
      <w:r>
        <w:t xml:space="preserve">. Por fim, ligue o amplificador à </w:t>
      </w:r>
      <w:r>
        <w:rPr>
          <w:b/>
          <w:bCs/>
        </w:rPr>
        <w:t xml:space="preserve">Fonte de Alimentação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PASSO 3 — Ative a frequência:</w:t>
      </w:r>
      <w:r>
        <w:t xml:space="preserve"> Abra o aplicativo gerador de frequências no smartphone. Configure para uma onda senoidal na frequência desejada (ex: </w:t>
      </w:r>
      <w:r>
        <w:rPr>
          <w:b/>
          <w:bCs/>
        </w:rPr>
        <w:t xml:space="preserve">528 Hz</w:t>
      </w:r>
      <w:r>
        <w:t xml:space="preserve">). Coloque a tigela de vidro com água filtrada ou mineral centralizada sobre a bobina de cobre.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PASSO 4 — Tempo de estruturação:</w:t>
      </w:r>
      <w:r>
        <w:t xml:space="preserve"> Aumente o volume do smartphone e do amplificador (sem distorcer). Deixe a água ser exposta ao campo vibracional por um período de </w:t>
      </w:r>
      <w:r>
        <w:rPr>
          <w:b/>
          <w:bCs/>
        </w:rPr>
        <w:t xml:space="preserve">15 a 30 minutos</w:t>
      </w:r>
      <w:r>
        <w:t xml:space="preserve">.</w:t>
      </w:r>
    </w:p>
    <w:p>
      <w:pPr>
        <w:pStyle w:val="Heading3"/>
        <w:spacing w:before="240" w:after="120"/>
      </w:pPr>
      <w:r>
        <w:t xml:space="preserve">4. FREQUÊNCIAS RECOMENDADAS</w:t>
      </w:r>
    </w:p>
    <w:tbl>
      <w:tblPr>
        <w:tblW w:type="dxa" w:w="10800"/>
        <w:tblBorders>
          <w:top w:val="single" w:color="d1d5db" w:sz="1"/>
          <w:left w:val="single" w:color="d1d5db" w:sz="1"/>
          <w:bottom w:val="single" w:color="d1d5db" w:sz="1"/>
          <w:right w:val="single" w:color="d1d5db" w:sz="1"/>
          <w:insideH w:val="single" w:color="d1d5db" w:sz="1"/>
          <w:insideV w:val="single" w:color="d1d5db" w:sz="1"/>
        </w:tblBorders>
        <w:tblLayout w:type="fixed"/>
      </w:tblPr>
      <w:tblGrid>
        <w:gridCol w:w="5400"/>
        <w:gridCol w:w="5400"/>
      </w:tblGrid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Frequência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Propósito / Atributo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528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Reparo celular, regeneração e harmonização (Frequência do Amor)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7.83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Ressonância Schumann — Aterramento e equilíbrio biológico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174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Alívio de tensões, conforto e segurança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2693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Harmonização do corpo etérico e expansão da consciência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33 Hz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Vitalidade, foco e despertar da energia vital</w:t>
            </w:r>
          </w:p>
        </w:tc>
      </w:tr>
    </w:tbl>
    <w:p>
      <w:pPr>
        <w:pStyle w:val="Heading3"/>
        <w:spacing w:before="240" w:after="120"/>
      </w:pPr>
      <w:r>
        <w:t xml:space="preserve">5. PROTOCOLO DE COMPROVAÇÃO (ALTA INTEGRIDADE)</w:t>
      </w:r>
    </w:p>
    <w:p>
      <w:pPr>
        <w:spacing w:before="60" w:after="120" w:line="276"/>
        <w:jc w:val="both"/>
      </w:pPr>
      <w:r>
        <w:t xml:space="preserve">Para garantir que o processo de estruturação foi efetivo, utilizamos o método de registro comparativo: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Medir ANTES:</w:t>
      </w:r>
      <w:r>
        <w:t xml:space="preserve"> Utilize os medidores na água pura antes do processo. Registre os valores de TDS (Sólidos Dissolvidos), pH e, principalmente, o </w:t>
      </w:r>
      <w:r>
        <w:rPr>
          <w:b/>
          <w:bCs/>
        </w:rPr>
        <w:t xml:space="preserve">ORP</w:t>
      </w:r>
      <w:r>
        <w:t xml:space="preserve"> (que em águas comuns costuma ser positivo, ex: $$+150 mV$$ a $$+300 mV$$).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Estruturar:</w:t>
      </w:r>
      <w:r>
        <w:t xml:space="preserve"> Realize o procedimento de 15 a 30 minutos conforme o Passo a Passo.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Medir DEPOIS:</w:t>
      </w:r>
      <w:r>
        <w:t xml:space="preserve"> Repita as medições. Uma estruturação eficiente tende a tornar o </w:t>
      </w:r>
      <w:r>
        <w:rPr>
          <w:b/>
          <w:bCs/>
        </w:rPr>
        <w:t xml:space="preserve">ORP negativo</w:t>
      </w:r>
      <w:r>
        <w:t xml:space="preserve"> (ex: $$-250 mV$$), indicando que a água se tornou um agente antioxidante (doadora de elétrons).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Nota Importante:</w:t>
      </w:r>
      <w:r>
        <w:t xml:space="preserve"> A frequência reorganiza a geometria molecular da água, mas </w:t>
      </w:r>
      <w:r>
        <w:rPr>
          <w:b/>
          <w:bCs/>
        </w:rPr>
        <w:t xml:space="preserve">NÃO</w:t>
      </w:r>
      <w:r>
        <w:t xml:space="preserve"> cria nutrientes do nada. Para que a água seja um "alimento completo", devem ser adicionados fisicamente minerais ou eletrólitos (como sal marinho integral ou extratos), que serão então estruturados pela bobina.</w:t>
      </w:r>
    </w:p>
    <w:p>
      <w:pPr>
        <w:pStyle w:val="Heading3"/>
        <w:spacing w:before="240" w:after="120"/>
      </w:pPr>
      <w:r>
        <w:t xml:space="preserve">6. OBSERVAÇÕES IMPORTANTES</w:t>
      </w:r>
    </w:p>
    <w:p>
      <w:pPr>
        <w:spacing w:before="60" w:after="120" w:line="276"/>
      </w:pPr>
      <w:r>
        <w:rPr>
          <w:b/>
          <w:bCs/>
        </w:rPr>
        <w:t xml:space="preserve">Atenção:</w:t>
      </w:r>
      <w:r>
        <w:t xml:space="preserve"> Utilize sempre recipientes de vidro ou cerâmica. O metal interfere no campo eletromagnético da bobina e o plástico pode liberar substâncias indesejadas.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t xml:space="preserve">Mantenha os componentes eletrônicos (amplificador e fonte) longe da umidade.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t xml:space="preserve">Este dispositivo visa o equilíbrio vibracional e a regeneração sistêmica, sendo um método complementar de bem-estar que não substitui orientações ou tratamentos médicos convencionais.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t xml:space="preserve">Mantenha a higiene rigorosa de todos os recipientes utilizados.</w:t>
      </w:r>
    </w:p>
    <w:p>
      <w:pPr>
        <w:pStyle w:val="Heading3"/>
        <w:spacing w:before="240" w:after="120"/>
      </w:pPr>
      <w:r>
        <w:t xml:space="preserve">7. ENCERRAMENTO</w:t>
      </w:r>
    </w:p>
    <w:p>
      <w:pPr>
        <w:spacing w:before="60" w:after="120" w:line="276"/>
        <w:jc w:val="both"/>
      </w:pPr>
      <w:r>
        <w:t xml:space="preserve">Que este instrumento sirva como uma ferramenta de autonomia e despertar para a nova era da saúde vibracional. Ao estruturarmos nossa própria água, retomamos a conexão com os ritmos da natureza e com a tecnologia do amor universal.</w:t>
      </w:r>
    </w:p>
    <w:p>
      <w:pPr>
        <w:spacing w:before="60" w:after="120" w:line="276"/>
        <w:jc w:val="both"/>
      </w:pPr>
      <w:r>
        <w:t xml:space="preserve">Com gratidão e luz,</w:t>
      </w:r>
    </w:p>
    <w:p>
      <w:pPr>
        <w:spacing w:before="60" w:after="120" w:line="276"/>
        <w:jc w:val="center"/>
      </w:pPr>
      <w:r>
        <w:br/>
      </w:r>
      <w:r>
        <w:rPr>
          <w:b/>
          <w:bCs/>
          <w:color w:val="555555"/>
          <w:sz w:val="21"/>
          <w:szCs w:val="21"/>
        </w:rPr>
        <w:t xml:space="preserve">💜 Sil — Lar Maria de Nazaré</w:t>
      </w:r>
    </w:p>
    <w:p>
      <w:pPr>
        <w:pStyle w:val="Heading3"/>
        <w:spacing w:before="240" w:after="120"/>
      </w:pPr>
      <w:r>
        <w:t xml:space="preserve">8. FAQ — DÚVIDAS TÉCNICAS DO REPLICADOR (CAMPO DE DÚVIDAS)</w:t>
      </w:r>
    </w:p>
    <w:p>
      <w:pPr>
        <w:spacing w:before="60" w:after="120" w:line="276"/>
      </w:pPr>
      <w:r>
        <w:rPr>
          <w:b/>
          <w:bCs/>
        </w:rPr>
        <w:t xml:space="preserve">De onde vêm os projetos como o Replicador Noosférico?</w:t>
      </w:r>
    </w:p>
    <w:p>
      <w:pPr>
        <w:spacing w:before="60" w:after="120" w:line="276"/>
        <w:jc w:val="both"/>
      </w:pPr>
      <w:r>
        <w:t xml:space="preserve">Todos os projetos vêm da </w:t>
      </w:r>
      <w:r>
        <w:rPr>
          <w:b/>
          <w:bCs/>
        </w:rPr>
        <w:t xml:space="preserve">Noosfera</w:t>
      </w:r>
      <w:r>
        <w:t xml:space="preserve">, através da canalização de </w:t>
      </w:r>
      <w:r>
        <w:rPr>
          <w:b/>
          <w:bCs/>
        </w:rPr>
        <w:t xml:space="preserve">Sebastião Gonçalves Leite</w:t>
      </w:r>
      <w:r>
        <w:t xml:space="preserve"> com </w:t>
      </w:r>
      <w:r>
        <w:rPr>
          <w:b/>
          <w:bCs/>
        </w:rPr>
        <w:t xml:space="preserve">Lídia</w:t>
      </w:r>
      <w:r>
        <w:t xml:space="preserve">, Coordenadora da Noosfera. A tecnologia vibracional não nasce de laboratório — nasce da </w:t>
      </w:r>
      <w:r>
        <w:rPr>
          <w:b/>
          <w:bCs/>
        </w:rPr>
        <w:t xml:space="preserve">Fonte</w:t>
      </w:r>
      <w:r>
        <w:t xml:space="preserve">, e chega até nós para ser materializada em </w:t>
      </w:r>
      <w:r>
        <w:rPr>
          <w:b/>
          <w:bCs/>
        </w:rPr>
        <w:t xml:space="preserve">Alta Integridade</w:t>
      </w:r>
      <w:r>
        <w:t xml:space="preserve">.</w:t>
      </w:r>
    </w:p>
    <w:p>
      <w:pPr>
        <w:spacing w:before="60" w:after="120" w:line="276"/>
      </w:pPr>
      <w:r>
        <w:rPr>
          <w:b/>
          <w:bCs/>
        </w:rPr>
        <w:t xml:space="preserve">Qual amplificador devo usar no Replicador?</w:t>
      </w:r>
    </w:p>
    <w:p>
      <w:pPr>
        <w:spacing w:before="60" w:after="120" w:line="276"/>
        <w:jc w:val="both"/>
      </w:pPr>
      <w:r>
        <w:t xml:space="preserve">Qualquer </w:t>
      </w:r>
      <w:r>
        <w:rPr>
          <w:b/>
          <w:bCs/>
        </w:rPr>
        <w:t xml:space="preserve">amplificador de áudio</w:t>
      </w:r>
      <w:r>
        <w:t xml:space="preserve"> funciona, desde que a </w:t>
      </w:r>
      <w:r>
        <w:rPr>
          <w:b/>
          <w:bCs/>
        </w:rPr>
        <w:t xml:space="preserve">fonte de alimentação</w:t>
      </w:r>
      <w:r>
        <w:t xml:space="preserve"> forneça a tensão e a corrente que o amplificador exige (ex.: $$5V$$, $$9V$$, $$12V$$, $$24V$$ — o valor indicado de $$12V$$ é apenas uma referência, não uma regra). O que importa é alimentar o amplificador dentro da especificação dele para obter uma </w:t>
      </w:r>
      <w:r>
        <w:rPr>
          <w:b/>
          <w:bCs/>
        </w:rPr>
        <w:t xml:space="preserve">potência de saída eficiente</w:t>
      </w:r>
      <w:r>
        <w:t xml:space="preserve">, sem forçar o componente.</w:t>
      </w:r>
    </w:p>
    <w:p>
      <w:pPr>
        <w:spacing w:before="60" w:after="120" w:line="276"/>
      </w:pPr>
      <w:r>
        <w:rPr>
          <w:b/>
          <w:bCs/>
        </w:rPr>
        <w:t xml:space="preserve">A potência do amplificador pode ser de qualquer valor? Isso não vai influenciar no tratamento da água?</w:t>
      </w:r>
    </w:p>
    <w:p>
      <w:pPr>
        <w:spacing w:before="60" w:after="120" w:line="276"/>
        <w:jc w:val="both"/>
      </w:pPr>
      <w:r>
        <w:t xml:space="preserve">Sim, a potência pode ser de qualquer valor dentro de uma faixa sensata (ex.: $$2W$$ a $$20W$$) — e o ideal é que seja </w:t>
      </w:r>
      <w:r>
        <w:rPr>
          <w:b/>
          <w:bCs/>
        </w:rPr>
        <w:t xml:space="preserve">moderada</w:t>
      </w:r>
      <w:r>
        <w:t xml:space="preserve">, não alta. O que estrutura a água é a </w:t>
      </w:r>
      <w:r>
        <w:rPr>
          <w:b/>
          <w:bCs/>
        </w:rPr>
        <w:t xml:space="preserve">frequência limpa e estável</w:t>
      </w:r>
      <w:r>
        <w:t xml:space="preserve">, não a intensidade. Um amplificador muito potente, com volume alto, pode entrar em </w:t>
      </w:r>
      <w:r>
        <w:rPr>
          <w:b/>
          <w:bCs/>
        </w:rPr>
        <w:t xml:space="preserve">distorção (clipping)</w:t>
      </w:r>
      <w:r>
        <w:t xml:space="preserve"> e criar </w:t>
      </w:r>
      <w:r>
        <w:rPr>
          <w:b/>
          <w:bCs/>
        </w:rPr>
        <w:t xml:space="preserve">harmônicos parasitas</w:t>
      </w:r>
      <w:r>
        <w:t xml:space="preserve"> que sujam a frequência — exatamente o que o protocolo pede para evitar. Regra prática: </w:t>
      </w:r>
      <w:r>
        <w:rPr>
          <w:b/>
          <w:bCs/>
        </w:rPr>
        <w:t xml:space="preserve">frequência pura em volume moderado</w:t>
      </w:r>
      <w:r>
        <w:t xml:space="preserve"> é mais eficaz do que frequência distorcida em volume alto. Use o volume sem "rachar" o som; se ouvir distorção, reduza.</w:t>
      </w:r>
    </w:p>
    <w:p>
      <w:pPr>
        <w:spacing w:before="60" w:after="120" w:line="276"/>
      </w:pPr>
      <w:r>
        <w:rPr>
          <w:b/>
          <w:bCs/>
        </w:rPr>
        <w:t xml:space="preserve">Por que a bobina não "queima" o amplificador? Como evitar curto-circuito?</w:t>
      </w:r>
    </w:p>
    <w:p>
      <w:pPr>
        <w:spacing w:before="60" w:after="120" w:line="276"/>
        <w:jc w:val="both"/>
      </w:pPr>
      <w:r>
        <w:t xml:space="preserve">Essa é uma dúvida muito pertinente, e o técnico que montou o Replicador apontou com precisão: uma bobina com </w:t>
      </w:r>
      <w:r>
        <w:rPr>
          <w:b/>
          <w:bCs/>
        </w:rPr>
        <w:t xml:space="preserve">25 voltas</w:t>
      </w:r>
      <w:r>
        <w:t xml:space="preserve"> de fio </w:t>
      </w:r>
      <w:r>
        <w:rPr>
          <w:b/>
          <w:bCs/>
        </w:rPr>
        <w:t xml:space="preserve">18AWG</w:t>
      </w:r>
      <w:r>
        <w:t xml:space="preserve"> tem indutância muito baixa e, em baixas frequências, se comporta quase como </w:t>
      </w:r>
      <w:r>
        <w:rPr>
          <w:b/>
          <w:bCs/>
        </w:rPr>
        <w:t xml:space="preserve">curto-circuito</w:t>
      </w:r>
      <w:r>
        <w:t xml:space="preserve"> na saída do amplificador. A solução correta é colocar um </w:t>
      </w:r>
      <w:r>
        <w:rPr>
          <w:b/>
          <w:bCs/>
        </w:rPr>
        <w:t xml:space="preserve">resistor em série</w:t>
      </w:r>
      <w:r>
        <w:t xml:space="preserve"> com a bobina (ex.: $$4\Omega$$ a $$8\Omega$$, com potência de $$5W$$ a $$10W$$) — ele simula a </w:t>
      </w:r>
      <w:r>
        <w:rPr>
          <w:b/>
          <w:bCs/>
        </w:rPr>
        <w:t xml:space="preserve">impedância</w:t>
      </w:r>
      <w:r>
        <w:t xml:space="preserve"> de um alto-falante, limita a corrente e protege o amplificador de danos.</w:t>
      </w:r>
    </w:p>
    <w:p>
      <w:pPr>
        <w:spacing w:before="60" w:after="120" w:line="276"/>
      </w:pPr>
      <w:r>
        <w:rPr>
          <w:b/>
          <w:bCs/>
        </w:rPr>
        <w:t xml:space="preserve">Quais as dimensões corretas da bobina?</w:t>
      </w:r>
    </w:p>
    <w:p>
      <w:pPr>
        <w:spacing w:before="60" w:after="120" w:line="276"/>
        <w:jc w:val="both"/>
      </w:pPr>
      <w:r>
        <w:t xml:space="preserve">Com </w:t>
      </w:r>
      <w:r>
        <w:rPr>
          <w:b/>
          <w:bCs/>
        </w:rPr>
        <w:t xml:space="preserve">25 voltas</w:t>
      </w:r>
      <w:r>
        <w:t xml:space="preserve">, fio </w:t>
      </w:r>
      <w:r>
        <w:rPr>
          <w:b/>
          <w:bCs/>
        </w:rPr>
        <w:t xml:space="preserve">18AWG</w:t>
      </w:r>
      <w:r>
        <w:t xml:space="preserve">, diâmetro inicial de $$0,5cm$$ e espaçamento de $$2mm$$ entre as espiras, o diâmetro final fica em torno de $$10cm$$ — dimensionamento coerente, que pode ser ajustado conforme o tamanho do recipiente de vidro utilizado.</w:t>
      </w:r>
    </w:p>
    <w:p>
      <w:pPr>
        <w:spacing w:before="60" w:after="120" w:line="276"/>
      </w:pPr>
      <w:r>
        <w:rPr>
          <w:b/>
          <w:bCs/>
        </w:rPr>
        <w:t xml:space="preserve">Posso montar o Replicador em casa, sem conhecimento avançado de eletrônica?</w:t>
      </w:r>
    </w:p>
    <w:p>
      <w:pPr>
        <w:spacing w:before="60" w:after="120" w:line="276"/>
        <w:jc w:val="both"/>
      </w:pPr>
      <w:r>
        <w:t xml:space="preserve">Sim — é um projeto acessível, mas exige cuidado e atenção às especificações (</w:t>
      </w:r>
      <w:r>
        <w:rPr>
          <w:b/>
          <w:bCs/>
        </w:rPr>
        <w:t xml:space="preserve">fonte correta</w:t>
      </w:r>
      <w:r>
        <w:t xml:space="preserve">, </w:t>
      </w:r>
      <w:r>
        <w:rPr>
          <w:b/>
          <w:bCs/>
        </w:rPr>
        <w:t xml:space="preserve">resistor em série</w:t>
      </w:r>
      <w:r>
        <w:t xml:space="preserve">, </w:t>
      </w:r>
      <w:r>
        <w:rPr>
          <w:b/>
          <w:bCs/>
        </w:rPr>
        <w:t xml:space="preserve">recipiente de vidro</w:t>
      </w:r>
      <w:r>
        <w:t xml:space="preserve">, nunca metal). Para dúvidas específicas de montagem, consulte um técnico de confiança. O Replicador é uma </w:t>
      </w:r>
      <w:r>
        <w:rPr>
          <w:b/>
          <w:bCs/>
        </w:rPr>
        <w:t xml:space="preserve">ferramenta complementar de bem-estar vibracional</w:t>
      </w:r>
      <w:r>
        <w:t xml:space="preserve"> e não substitui orientação médica.</w:t>
      </w:r>
    </w:p>
    <w:p>
      <w:pPr>
        <w:spacing w:before="60" w:after="120" w:line="276"/>
      </w:pPr>
      <w:r>
        <w:rPr>
          <w:b/>
          <w:bCs/>
        </w:rPr>
        <w:t xml:space="preserve">Nota de Alta Integridade:</w:t>
      </w:r>
      <w:r>
        <w:t xml:space="preserve"> o Replicador Noosférico é uma prática complementar de bem-estar vibracional, baseada em frequências e água estruturada (</w:t>
      </w:r>
      <w:r>
        <w:rPr>
          <w:b/>
          <w:bCs/>
        </w:rPr>
        <w:t xml:space="preserve">EZ Water</w:t>
      </w:r>
      <w:r>
        <w:t xml:space="preserve">), e não substitui consulta, diagnóstico ou tratamento médico.</w:t>
      </w:r>
    </w:p>
    <w:p>
      <w:pPr>
        <w:pBdr>
          <w:bottom w:val="single" w:color="CCCCCC" w:sz="6"/>
        </w:pBdr>
        <w:spacing w:before="200" w:after="200"/>
      </w:pPr>
    </w:p>
    <w:p>
      <w:pPr>
        <w:spacing w:before="60" w:after="120" w:line="276"/>
      </w:pPr>
      <w:r>
        <w:rPr>
          <w:i/>
          <w:iCs/>
        </w:rPr>
        <w:t xml:space="preserve">Documento elaborado em 12 de agosto de 2026. As informações contidas são de responsabilidade do solicitante.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 w:after="1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80" w:after="240"/>
    </w:pPr>
    <w:rPr>
      <w:rFonts w:ascii="Calibri" w:cs="Calibri" w:eastAsia="Calibri" w:hAnsi="Calibri"/>
      <w:b/>
      <w:bCs/>
      <w:sz w:val="52"/>
      <w:szCs w:val="52"/>
    </w:rPr>
  </w:style>
  <w:style w:type="paragraph" w:styleId="Heading2">
    <w:name w:val="Heading 2"/>
    <w:basedOn w:val="Normal"/>
    <w:next w:val="Normal"/>
    <w:qFormat/>
    <w:pPr>
      <w:spacing w:before="360" w:after="180"/>
    </w:pPr>
    <w:rPr>
      <w:rFonts w:ascii="Calibri" w:cs="Calibri" w:eastAsia="Calibri" w:hAnsi="Calibri"/>
      <w:b/>
      <w:bCs/>
      <w:sz w:val="36"/>
      <w:szCs w:val="36"/>
    </w:rPr>
  </w:style>
  <w:style w:type="paragraph" w:styleId="Heading3">
    <w:name w:val="Heading 3"/>
    <w:basedOn w:val="Normal"/>
    <w:next w:val="Normal"/>
    <w:qFormat/>
    <w:pPr>
      <w:spacing w:before="240" w:after="120"/>
    </w:pPr>
    <w:rPr>
      <w:rFonts w:ascii="Calibri" w:cs="Calibri" w:eastAsia="Calibri" w:hAnsi="Calibri"/>
      <w:b/>
      <w:bCs/>
      <w:sz w:val="28"/>
      <w:szCs w:val="28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  <w:pPr>
      <w:spacing w:line="276"/>
    </w:pPr>
    <w:rPr>
      <w:rFonts w:ascii="Calibri" w:cs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2026-08-16T15:08:32.989Z</dcterms:created>
  <dcterms:modified xsi:type="dcterms:W3CDTF">2026-08-16T15:08:32.989Z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